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9" w:rsidRDefault="005F6611" w:rsidP="005F6611">
      <w:pPr>
        <w:jc w:val="center"/>
      </w:pPr>
      <w:r w:rsidRPr="007B52DB">
        <w:rPr>
          <w:noProof/>
        </w:rPr>
        <w:drawing>
          <wp:inline distT="0" distB="0" distL="0" distR="0" wp14:anchorId="6A434E3A" wp14:editId="331CFDFC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39" w:rsidRDefault="009A25D5" w:rsidP="00640635">
      <w:pPr>
        <w:pStyle w:val="1"/>
      </w:pPr>
      <w:r>
        <w:t>Шприц однократного применения по ТНВЛ.942311.025 ТУ</w:t>
      </w:r>
    </w:p>
    <w:p w:rsidR="009A25D5" w:rsidRDefault="009A25D5" w:rsidP="00640635">
      <w:pPr>
        <w:pStyle w:val="1"/>
      </w:pPr>
      <w:r>
        <w:t>РУ № РЗН 2017/6650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:rsidTr="00974D46">
        <w:trPr>
          <w:tblHeader/>
        </w:trPr>
        <w:tc>
          <w:tcPr>
            <w:tcW w:w="648" w:type="dxa"/>
            <w:vAlign w:val="center"/>
          </w:tcPr>
          <w:p w:rsidR="00974D46" w:rsidRPr="003B289A" w:rsidRDefault="00974D46" w:rsidP="003B289A">
            <w:pPr>
              <w:pStyle w:val="a7"/>
            </w:pPr>
            <w:r w:rsidRPr="003B289A">
              <w:t xml:space="preserve">№ </w:t>
            </w:r>
            <w:proofErr w:type="gramStart"/>
            <w:r w:rsidRPr="003B289A">
              <w:t>п</w:t>
            </w:r>
            <w:proofErr w:type="gramEnd"/>
            <w:r w:rsidRPr="003B289A">
              <w:t>/п</w:t>
            </w:r>
          </w:p>
        </w:tc>
        <w:tc>
          <w:tcPr>
            <w:tcW w:w="2295" w:type="dxa"/>
            <w:vAlign w:val="center"/>
          </w:tcPr>
          <w:p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:rsidTr="00974D46">
        <w:tc>
          <w:tcPr>
            <w:tcW w:w="648" w:type="dxa"/>
          </w:tcPr>
          <w:p w:rsidR="00974D46" w:rsidRDefault="00974D46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:rsidR="00974D46" w:rsidRDefault="00974D46" w:rsidP="009A25D5">
            <w:pPr>
              <w:pStyle w:val="a3"/>
            </w:pPr>
            <w:r w:rsidRPr="00562770">
              <w:t>Шприц однократного применения</w:t>
            </w:r>
            <w:r w:rsidR="009A25D5">
              <w:t>,</w:t>
            </w:r>
            <w:r w:rsidRPr="00562770">
              <w:t xml:space="preserve"> трехдетальны</w:t>
            </w:r>
            <w:r>
              <w:t>й</w:t>
            </w:r>
            <w:r w:rsidR="00784902">
              <w:t>,</w:t>
            </w:r>
            <w:r w:rsidRPr="00562770">
              <w:t xml:space="preserve"> 150 мл</w:t>
            </w:r>
            <w:r w:rsidR="00784902">
              <w:t>,</w:t>
            </w:r>
            <w:r w:rsidRPr="00562770">
              <w:t xml:space="preserve"> с катетерн</w:t>
            </w:r>
            <w:r w:rsidR="009A25D5">
              <w:t>ым наконечником</w:t>
            </w:r>
          </w:p>
        </w:tc>
        <w:tc>
          <w:tcPr>
            <w:tcW w:w="7230" w:type="dxa"/>
          </w:tcPr>
          <w:p w:rsidR="00974D46" w:rsidRDefault="00974D46" w:rsidP="00640635">
            <w:pPr>
              <w:pStyle w:val="a3"/>
            </w:pPr>
            <w:r w:rsidRPr="00562770">
              <w:t>Шприц предназначен для отсасывания различных жидкостей из организма и промывания внутренних полостей.</w:t>
            </w:r>
          </w:p>
          <w:p w:rsidR="005F6611" w:rsidRDefault="00974D46" w:rsidP="00640635">
            <w:pPr>
              <w:pStyle w:val="a3"/>
            </w:pPr>
            <w:r w:rsidRPr="00562770">
              <w:t>Шприц состо</w:t>
            </w:r>
            <w:r>
              <w:t>и</w:t>
            </w:r>
            <w:r w:rsidRPr="00562770">
              <w:t xml:space="preserve">т из </w:t>
            </w:r>
            <w:r>
              <w:t>–</w:t>
            </w:r>
            <w:r w:rsidRPr="00562770">
              <w:t xml:space="preserve"> цилиндра, штока и поршня. На внешней стороне цилиндра нанесена шкала </w:t>
            </w:r>
            <w:r>
              <w:t>до</w:t>
            </w:r>
            <w:r w:rsidRPr="00562770">
              <w:t xml:space="preserve"> 150</w:t>
            </w:r>
            <w:r>
              <w:t> </w:t>
            </w:r>
            <w:r w:rsidRPr="00562770">
              <w:t>мл</w:t>
            </w:r>
            <w:r>
              <w:t xml:space="preserve"> (номинальная вместимость)</w:t>
            </w:r>
            <w:r w:rsidRPr="00562770">
              <w:t xml:space="preserve"> </w:t>
            </w:r>
            <w:r>
              <w:t>с</w:t>
            </w:r>
            <w:r w:rsidRPr="00562770">
              <w:t xml:space="preserve"> </w:t>
            </w:r>
            <w:r>
              <w:t>продолжением шкалы</w:t>
            </w:r>
            <w:r w:rsidRPr="00562770">
              <w:t xml:space="preserve"> до 160</w:t>
            </w:r>
            <w:r>
              <w:t> </w:t>
            </w:r>
            <w:r w:rsidRPr="00562770">
              <w:t xml:space="preserve">мл. </w:t>
            </w:r>
            <w:r>
              <w:t>Закрытая часть</w:t>
            </w:r>
            <w:r w:rsidRPr="00562770">
              <w:t xml:space="preserve"> цилиндра снабжена присоединительным конусом для катетерной насадки. На внутренней поверхности цилиндра, </w:t>
            </w:r>
            <w:r>
              <w:t>с открытой</w:t>
            </w:r>
            <w:r w:rsidRPr="00562770">
              <w:t xml:space="preserve"> части, цилиндра имеется стопорное кольцо, препятствующее случайному выпадению штока из цилиндра. </w:t>
            </w:r>
            <w:r>
              <w:t>П</w:t>
            </w:r>
            <w:r w:rsidRPr="00562770">
              <w:t>орше</w:t>
            </w:r>
            <w:r>
              <w:t>нь</w:t>
            </w:r>
            <w:r w:rsidRPr="00562770">
              <w:t xml:space="preserve"> имеет два кольца контакта с внутренней поверхностью цилиндра, что исключает протекание и обеспечивает плавное скольжение поршня внутри цилиндра. Детали шприц</w:t>
            </w:r>
            <w:r>
              <w:t>а</w:t>
            </w:r>
            <w:r w:rsidRPr="00562770">
              <w:t xml:space="preserve"> изготовлены из следующих материалов: цилиндр</w:t>
            </w:r>
            <w:r>
              <w:t xml:space="preserve"> и</w:t>
            </w:r>
            <w:r w:rsidRPr="00562770">
              <w:t xml:space="preserve"> шток </w:t>
            </w:r>
            <w:r>
              <w:t>–</w:t>
            </w:r>
            <w:r w:rsidRPr="00562770">
              <w:t xml:space="preserve"> из полипропилена, поршень из </w:t>
            </w:r>
            <w:r>
              <w:t>медицинского компаунда</w:t>
            </w:r>
            <w:r w:rsidRPr="00562770">
              <w:t xml:space="preserve">. На цилиндре имеется маркировка </w:t>
            </w:r>
            <w:r>
              <w:t>–</w:t>
            </w:r>
            <w:r w:rsidRPr="00562770">
              <w:t xml:space="preserve"> изделие не содержит латекса.</w:t>
            </w:r>
            <w:r>
              <w:t xml:space="preserve"> </w:t>
            </w:r>
          </w:p>
          <w:p w:rsidR="005F6611" w:rsidRDefault="00974D46" w:rsidP="0064063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:rsidR="005F6611" w:rsidRDefault="00974D46" w:rsidP="00640635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:rsidR="005F6611" w:rsidRDefault="00974D46" w:rsidP="0064063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:rsidR="00974D46" w:rsidRDefault="00974D46" w:rsidP="0064063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:rsidR="005F6611" w:rsidRDefault="00974D46" w:rsidP="0064063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:rsidR="00974D46" w:rsidRDefault="00974D46" w:rsidP="00640635">
            <w:pPr>
              <w:pStyle w:val="a3"/>
            </w:pPr>
          </w:p>
        </w:tc>
      </w:tr>
      <w:tr w:rsidR="00974D46" w:rsidTr="00974D46">
        <w:tc>
          <w:tcPr>
            <w:tcW w:w="648" w:type="dxa"/>
          </w:tcPr>
          <w:p w:rsidR="00974D46" w:rsidRDefault="00974D46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:rsidR="00974D46" w:rsidRDefault="00784902" w:rsidP="00784902">
            <w:pPr>
              <w:pStyle w:val="a3"/>
            </w:pPr>
            <w:r w:rsidRPr="00562770">
              <w:t>Шприц однократного применения</w:t>
            </w:r>
            <w:r>
              <w:t>,</w:t>
            </w:r>
            <w:r w:rsidRPr="00562770">
              <w:t xml:space="preserve"> </w:t>
            </w:r>
            <w:proofErr w:type="spellStart"/>
            <w:r w:rsidRPr="00562770">
              <w:t>трехдетальны</w:t>
            </w:r>
            <w:r>
              <w:t>й</w:t>
            </w:r>
            <w:proofErr w:type="spellEnd"/>
            <w:r>
              <w:t>,</w:t>
            </w:r>
            <w:r w:rsidRPr="00562770">
              <w:t xml:space="preserve"> 150 мл</w:t>
            </w:r>
            <w:r>
              <w:t>,</w:t>
            </w:r>
            <w:r w:rsidRPr="00562770">
              <w:t xml:space="preserve"> с </w:t>
            </w:r>
            <w:r>
              <w:t>наконечником</w:t>
            </w:r>
            <w:r>
              <w:t xml:space="preserve"> «Луер-лок»</w:t>
            </w:r>
            <w:bookmarkStart w:id="0" w:name="_GoBack"/>
            <w:bookmarkEnd w:id="0"/>
          </w:p>
        </w:tc>
        <w:tc>
          <w:tcPr>
            <w:tcW w:w="7230" w:type="dxa"/>
          </w:tcPr>
          <w:p w:rsidR="00471C7E" w:rsidRDefault="00974D46" w:rsidP="00EC4691">
            <w:pPr>
              <w:pStyle w:val="a3"/>
            </w:pPr>
            <w:r w:rsidRPr="00562770">
              <w:t xml:space="preserve">Шприц предназначен для отсасывания различных жидкостей из организма и промывания внутренних полостей. </w:t>
            </w:r>
          </w:p>
          <w:p w:rsidR="005F6611" w:rsidRDefault="00974D46" w:rsidP="00EC4691">
            <w:pPr>
              <w:pStyle w:val="a3"/>
            </w:pPr>
            <w:r w:rsidRPr="00562770">
              <w:t>Шприц состо</w:t>
            </w:r>
            <w:r>
              <w:t>и</w:t>
            </w:r>
            <w:r w:rsidRPr="00562770">
              <w:t xml:space="preserve">т из </w:t>
            </w:r>
            <w:r w:rsidRPr="00B8329A">
              <w:t>–</w:t>
            </w:r>
            <w:r w:rsidRPr="00562770">
              <w:t xml:space="preserve"> цилиндра, штока и поршня. На внешней стороне цилиндра нанесена шкала </w:t>
            </w:r>
            <w:r>
              <w:t>до</w:t>
            </w:r>
            <w:r w:rsidRPr="00562770">
              <w:t xml:space="preserve"> </w:t>
            </w:r>
            <w:r w:rsidRPr="00562770">
              <w:rPr>
                <w:szCs w:val="24"/>
              </w:rPr>
              <w:t>150</w:t>
            </w:r>
            <w:r>
              <w:rPr>
                <w:szCs w:val="24"/>
              </w:rPr>
              <w:t> </w:t>
            </w:r>
            <w:r w:rsidRPr="00562770">
              <w:rPr>
                <w:szCs w:val="24"/>
              </w:rPr>
              <w:t xml:space="preserve">мл </w:t>
            </w:r>
            <w:r>
              <w:t>(номинальная вместимость)</w:t>
            </w:r>
            <w:r w:rsidRPr="00562770">
              <w:t xml:space="preserve"> </w:t>
            </w:r>
            <w:r>
              <w:t>с</w:t>
            </w:r>
            <w:r w:rsidRPr="00562770">
              <w:t xml:space="preserve"> </w:t>
            </w:r>
            <w:r>
              <w:t>продолжением шкалы</w:t>
            </w:r>
            <w:r w:rsidRPr="00562770">
              <w:rPr>
                <w:szCs w:val="24"/>
              </w:rPr>
              <w:t xml:space="preserve"> до 160</w:t>
            </w:r>
            <w:r>
              <w:rPr>
                <w:szCs w:val="24"/>
              </w:rPr>
              <w:t> </w:t>
            </w:r>
            <w:r w:rsidRPr="00562770">
              <w:rPr>
                <w:szCs w:val="24"/>
              </w:rPr>
              <w:t>мл.</w:t>
            </w:r>
            <w:r w:rsidRPr="00562770">
              <w:t xml:space="preserve"> </w:t>
            </w:r>
            <w:r>
              <w:t>Закрытая часть</w:t>
            </w:r>
            <w:r w:rsidRPr="00562770">
              <w:t xml:space="preserve"> цилиндра снабжена присоединительным конусом "</w:t>
            </w:r>
            <w:proofErr w:type="spellStart"/>
            <w:r w:rsidRPr="00562770">
              <w:t>Луер-Лок</w:t>
            </w:r>
            <w:proofErr w:type="spellEnd"/>
            <w:r w:rsidRPr="00562770">
              <w:t xml:space="preserve">". На внутренней поверхности цилиндра, </w:t>
            </w:r>
            <w:r>
              <w:t>с открытой</w:t>
            </w:r>
            <w:r w:rsidRPr="00562770">
              <w:t xml:space="preserve"> части цилиндра имеется стопорное кольцо, препятствующее случайному выпадению штока из цилиндра. </w:t>
            </w:r>
            <w:r>
              <w:t>П</w:t>
            </w:r>
            <w:r w:rsidRPr="00562770">
              <w:t>орше</w:t>
            </w:r>
            <w:r>
              <w:t>нь</w:t>
            </w:r>
            <w:r w:rsidRPr="00562770">
              <w:t xml:space="preserve"> имеет два кольца контакта с внутренней поверхностью цилиндра, что исключает протекание и обеспечивает плавное скольжение поршня внутри цилиндра. Детали шприц</w:t>
            </w:r>
            <w:r>
              <w:t>а</w:t>
            </w:r>
            <w:r w:rsidRPr="00562770">
              <w:t xml:space="preserve"> изготовлены из следующих материалов: цилиндр </w:t>
            </w:r>
            <w:r>
              <w:t xml:space="preserve">и </w:t>
            </w:r>
            <w:r w:rsidRPr="00562770">
              <w:t xml:space="preserve">шток </w:t>
            </w:r>
            <w:r>
              <w:t>–</w:t>
            </w:r>
            <w:r w:rsidRPr="00562770">
              <w:t xml:space="preserve"> из полипропилена,</w:t>
            </w:r>
            <w:r w:rsidRPr="00562770" w:rsidDel="00945D6A">
              <w:t xml:space="preserve"> </w:t>
            </w:r>
            <w:r w:rsidRPr="00562770">
              <w:t xml:space="preserve">поршень из </w:t>
            </w:r>
            <w:r>
              <w:t>медицинского компаунда</w:t>
            </w:r>
            <w:r w:rsidRPr="00562770">
              <w:t xml:space="preserve">. На цилиндре имеется маркировка </w:t>
            </w:r>
            <w:r>
              <w:t>–</w:t>
            </w:r>
            <w:r w:rsidRPr="00562770">
              <w:t xml:space="preserve"> изделие не содержит латекса. </w:t>
            </w:r>
          </w:p>
          <w:p w:rsidR="005F6611" w:rsidRDefault="00974D46" w:rsidP="00EC4691">
            <w:pPr>
              <w:pStyle w:val="a3"/>
            </w:pPr>
            <w:r w:rsidRPr="00562770">
              <w:t xml:space="preserve">Индивидуальная потребительская </w:t>
            </w:r>
            <w:r>
              <w:t>упаковка – блистер</w:t>
            </w:r>
            <w:r w:rsidRPr="00562770">
              <w:t xml:space="preserve">. </w:t>
            </w:r>
          </w:p>
          <w:p w:rsidR="005F6611" w:rsidRDefault="00974D46" w:rsidP="00EC4691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:rsidR="005F6611" w:rsidRDefault="00974D46" w:rsidP="00EC4691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</w:t>
            </w:r>
            <w:r w:rsidRPr="00562770">
              <w:rPr>
                <w:szCs w:val="24"/>
              </w:rPr>
              <w:t>оксидом этилена</w:t>
            </w:r>
            <w:r w:rsidRPr="00562770">
              <w:t>.</w:t>
            </w:r>
          </w:p>
          <w:p w:rsidR="00974D46" w:rsidRDefault="00974D46" w:rsidP="00EC4691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>
              <w:t>.</w:t>
            </w:r>
          </w:p>
          <w:p w:rsidR="00974D46" w:rsidRDefault="00974D46" w:rsidP="00C50DBF">
            <w:pPr>
              <w:pStyle w:val="a3"/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>: № партии,</w:t>
            </w:r>
            <w:r w:rsidRPr="00945D6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информацию о регистрации и сертификации, дату окончания срока годности, данные о производителе. </w:t>
            </w:r>
          </w:p>
        </w:tc>
      </w:tr>
    </w:tbl>
    <w:p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1C7E"/>
    <w:rsid w:val="004764A6"/>
    <w:rsid w:val="00482AF6"/>
    <w:rsid w:val="004D338A"/>
    <w:rsid w:val="00512C2A"/>
    <w:rsid w:val="00521F94"/>
    <w:rsid w:val="00546C17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6611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84902"/>
    <w:rsid w:val="007C2587"/>
    <w:rsid w:val="007D1EA2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A25D5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50DBF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43B66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0F7F"/>
    <w:rsid w:val="00F44404"/>
    <w:rsid w:val="00F61DED"/>
    <w:rsid w:val="00F66B31"/>
    <w:rsid w:val="00F719F8"/>
    <w:rsid w:val="00F87525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CD65-1AA0-4FFE-8D5C-E3D9532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</cp:lastModifiedBy>
  <cp:revision>9</cp:revision>
  <dcterms:created xsi:type="dcterms:W3CDTF">2015-09-10T05:44:00Z</dcterms:created>
  <dcterms:modified xsi:type="dcterms:W3CDTF">2019-06-25T07:17:00Z</dcterms:modified>
</cp:coreProperties>
</file>