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39" w:rsidRDefault="0068618C" w:rsidP="0068618C">
      <w:pPr>
        <w:jc w:val="center"/>
      </w:pPr>
      <w:r>
        <w:rPr>
          <w:noProof/>
        </w:rPr>
        <w:drawing>
          <wp:inline distT="0" distB="0" distL="0" distR="0">
            <wp:extent cx="3152775" cy="361950"/>
            <wp:effectExtent l="0" t="0" r="9525" b="0"/>
            <wp:docPr id="1" name="Рисунок 1" descr="товарный знак ООО М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варный знак ООО МИ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1" t="15347" r="5350" b="16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8C" w:rsidRDefault="0068618C" w:rsidP="00640635">
      <w:pPr>
        <w:pStyle w:val="1"/>
      </w:pPr>
    </w:p>
    <w:p w:rsidR="00691E39" w:rsidRDefault="00691E39" w:rsidP="00640635">
      <w:pPr>
        <w:pStyle w:val="1"/>
      </w:pPr>
      <w:r w:rsidRPr="00640635">
        <w:t>Описание</w:t>
      </w:r>
    </w:p>
    <w:p w:rsidR="0054061F" w:rsidRPr="00640635" w:rsidRDefault="0054061F" w:rsidP="00640635">
      <w:pPr>
        <w:pStyle w:val="1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7230"/>
      </w:tblGrid>
      <w:tr w:rsidR="00974D46" w:rsidTr="00974D46">
        <w:trPr>
          <w:tblHeader/>
        </w:trPr>
        <w:tc>
          <w:tcPr>
            <w:tcW w:w="648" w:type="dxa"/>
            <w:vAlign w:val="center"/>
          </w:tcPr>
          <w:p w:rsidR="00974D46" w:rsidRPr="003B289A" w:rsidRDefault="00974D46" w:rsidP="003B289A">
            <w:pPr>
              <w:pStyle w:val="a7"/>
            </w:pPr>
            <w:r w:rsidRPr="003B289A">
              <w:t xml:space="preserve">№ </w:t>
            </w:r>
            <w:proofErr w:type="gramStart"/>
            <w:r w:rsidRPr="003B289A">
              <w:t>п</w:t>
            </w:r>
            <w:proofErr w:type="gramEnd"/>
            <w:r w:rsidRPr="003B289A">
              <w:t>/п</w:t>
            </w:r>
          </w:p>
        </w:tc>
        <w:tc>
          <w:tcPr>
            <w:tcW w:w="2295" w:type="dxa"/>
            <w:vAlign w:val="center"/>
          </w:tcPr>
          <w:p w:rsidR="00974D46" w:rsidRDefault="00974D46" w:rsidP="003B289A">
            <w:pPr>
              <w:pStyle w:val="a7"/>
            </w:pPr>
            <w:r>
              <w:t>Наименование товара</w:t>
            </w:r>
          </w:p>
        </w:tc>
        <w:tc>
          <w:tcPr>
            <w:tcW w:w="7230" w:type="dxa"/>
            <w:vAlign w:val="center"/>
          </w:tcPr>
          <w:p w:rsidR="00974D46" w:rsidRDefault="00974D46" w:rsidP="003B289A">
            <w:pPr>
              <w:pStyle w:val="a7"/>
            </w:pPr>
            <w:r>
              <w:t>Характеристика товара</w:t>
            </w:r>
          </w:p>
        </w:tc>
      </w:tr>
      <w:tr w:rsidR="00974D46" w:rsidTr="00974D46">
        <w:tc>
          <w:tcPr>
            <w:tcW w:w="648" w:type="dxa"/>
          </w:tcPr>
          <w:p w:rsidR="00974D46" w:rsidRDefault="00794DC0" w:rsidP="00EC4691">
            <w:pPr>
              <w:pStyle w:val="a6"/>
            </w:pPr>
            <w:r>
              <w:t>1</w:t>
            </w:r>
          </w:p>
          <w:p w:rsidR="00794DC0" w:rsidRDefault="00794DC0" w:rsidP="00EC4691">
            <w:pPr>
              <w:pStyle w:val="a6"/>
            </w:pPr>
          </w:p>
        </w:tc>
        <w:tc>
          <w:tcPr>
            <w:tcW w:w="2295" w:type="dxa"/>
          </w:tcPr>
          <w:p w:rsidR="00974D46" w:rsidRPr="00640635" w:rsidRDefault="00974D46" w:rsidP="00EC4691">
            <w:pPr>
              <w:pStyle w:val="a3"/>
              <w:rPr>
                <w:szCs w:val="22"/>
              </w:rPr>
            </w:pPr>
            <w:r w:rsidRPr="00640635">
              <w:rPr>
                <w:szCs w:val="22"/>
              </w:rPr>
              <w:t xml:space="preserve">Ложка </w:t>
            </w:r>
            <w:proofErr w:type="spellStart"/>
            <w:r w:rsidRPr="00640635">
              <w:rPr>
                <w:szCs w:val="22"/>
              </w:rPr>
              <w:t>Фолькмана</w:t>
            </w:r>
            <w:proofErr w:type="spellEnd"/>
          </w:p>
        </w:tc>
        <w:tc>
          <w:tcPr>
            <w:tcW w:w="7230" w:type="dxa"/>
          </w:tcPr>
          <w:p w:rsidR="00974D46" w:rsidRPr="00EC4691" w:rsidRDefault="00974D46" w:rsidP="00EC4691">
            <w:pPr>
              <w:pStyle w:val="a3"/>
              <w:rPr>
                <w:szCs w:val="22"/>
              </w:rPr>
            </w:pPr>
            <w:r w:rsidRPr="00EC4691">
              <w:rPr>
                <w:szCs w:val="22"/>
              </w:rPr>
              <w:t xml:space="preserve">Ложка </w:t>
            </w:r>
            <w:r>
              <w:rPr>
                <w:szCs w:val="22"/>
              </w:rPr>
              <w:t>предназначена</w:t>
            </w:r>
            <w:r w:rsidRPr="00EC4691">
              <w:rPr>
                <w:szCs w:val="22"/>
              </w:rPr>
              <w:t xml:space="preserve"> для взятия материала с поверхности слизистой влагалища, шейки матки и уретры для бактериологических исследований.</w:t>
            </w:r>
          </w:p>
          <w:p w:rsidR="00974D46" w:rsidRDefault="00974D46" w:rsidP="00EC4691">
            <w:pPr>
              <w:pStyle w:val="a3"/>
              <w:rPr>
                <w:szCs w:val="22"/>
              </w:rPr>
            </w:pPr>
            <w:r w:rsidRPr="00EC4691">
              <w:rPr>
                <w:szCs w:val="22"/>
              </w:rPr>
              <w:t xml:space="preserve">Ложка изготовлена двухсторонней. Концы ложки </w:t>
            </w:r>
            <w:proofErr w:type="spellStart"/>
            <w:r w:rsidRPr="00EC4691">
              <w:rPr>
                <w:szCs w:val="22"/>
              </w:rPr>
              <w:t>Фолькмана</w:t>
            </w:r>
            <w:proofErr w:type="spellEnd"/>
            <w:r w:rsidRPr="00EC4691">
              <w:rPr>
                <w:szCs w:val="22"/>
              </w:rPr>
              <w:t xml:space="preserve"> имеют ложкообразную форму, но разные размеры (</w:t>
            </w:r>
            <w:smartTag w:uri="urn:schemas-microsoft-com:office:smarttags" w:element="metricconverter">
              <w:smartTagPr>
                <w:attr w:name="ProductID" w:val="3,3 мм"/>
              </w:smartTagPr>
              <w:r w:rsidRPr="00EC4691">
                <w:rPr>
                  <w:szCs w:val="22"/>
                </w:rPr>
                <w:t>3,3 мм</w:t>
              </w:r>
            </w:smartTag>
            <w:r w:rsidRPr="00EC4691">
              <w:rPr>
                <w:szCs w:val="22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EC4691">
                <w:rPr>
                  <w:szCs w:val="22"/>
                </w:rPr>
                <w:t>4 мм</w:t>
              </w:r>
            </w:smartTag>
            <w:r w:rsidRPr="00EC4691">
              <w:rPr>
                <w:szCs w:val="22"/>
              </w:rPr>
              <w:t>), что обеспечивает ей наибольшее соответствие при выполнении необходимых манипуляций.</w:t>
            </w:r>
            <w:r>
              <w:rPr>
                <w:szCs w:val="22"/>
              </w:rPr>
              <w:t xml:space="preserve"> </w:t>
            </w:r>
            <w:r w:rsidRPr="00EC4691">
              <w:rPr>
                <w:szCs w:val="22"/>
              </w:rPr>
              <w:t xml:space="preserve">Длина всей ложки – не менее </w:t>
            </w:r>
            <w:smartTag w:uri="urn:schemas-microsoft-com:office:smarttags" w:element="metricconverter">
              <w:smartTagPr>
                <w:attr w:name="ProductID" w:val="212 мм"/>
              </w:smartTagPr>
              <w:r w:rsidRPr="00EC4691">
                <w:rPr>
                  <w:szCs w:val="22"/>
                </w:rPr>
                <w:t xml:space="preserve">212 </w:t>
              </w:r>
              <w:r>
                <w:rPr>
                  <w:szCs w:val="22"/>
                </w:rPr>
                <w:t>м</w:t>
              </w:r>
              <w:r w:rsidRPr="00EC4691">
                <w:rPr>
                  <w:szCs w:val="22"/>
                </w:rPr>
                <w:t>м</w:t>
              </w:r>
            </w:smartTag>
            <w:r w:rsidRPr="00EC4691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Pr="00EC4691">
              <w:rPr>
                <w:szCs w:val="22"/>
              </w:rPr>
              <w:t>Ложка и</w:t>
            </w:r>
            <w:r w:rsidRPr="00640635">
              <w:rPr>
                <w:szCs w:val="22"/>
              </w:rPr>
              <w:t>зготовлена из нетоксичных полимерных материалов.</w:t>
            </w:r>
            <w:r>
              <w:rPr>
                <w:szCs w:val="22"/>
              </w:rPr>
              <w:t xml:space="preserve"> </w:t>
            </w:r>
            <w:r w:rsidRPr="00640635">
              <w:rPr>
                <w:szCs w:val="22"/>
              </w:rPr>
              <w:t>Индивидуальная потребительская упаковка – блистер.</w:t>
            </w:r>
            <w:r>
              <w:rPr>
                <w:szCs w:val="22"/>
              </w:rPr>
              <w:t xml:space="preserve"> </w:t>
            </w:r>
            <w:r w:rsidRPr="00640635">
              <w:rPr>
                <w:szCs w:val="22"/>
              </w:rPr>
              <w:t xml:space="preserve">Стерильна, </w:t>
            </w:r>
            <w:proofErr w:type="spellStart"/>
            <w:r w:rsidRPr="00640635">
              <w:rPr>
                <w:szCs w:val="22"/>
              </w:rPr>
              <w:t>апирогенно</w:t>
            </w:r>
            <w:proofErr w:type="spellEnd"/>
            <w:r w:rsidRPr="00640635">
              <w:rPr>
                <w:szCs w:val="22"/>
              </w:rPr>
              <w:t>, нетоксично.</w:t>
            </w:r>
            <w:r>
              <w:rPr>
                <w:szCs w:val="22"/>
              </w:rPr>
              <w:t xml:space="preserve"> </w:t>
            </w:r>
            <w:r w:rsidRPr="00640635">
              <w:rPr>
                <w:szCs w:val="22"/>
              </w:rPr>
              <w:t>Стерилизация газовая – оксидом этилена.</w:t>
            </w:r>
          </w:p>
          <w:p w:rsidR="00974D46" w:rsidRPr="00EC4691" w:rsidRDefault="00974D46" w:rsidP="0088725F">
            <w:pPr>
              <w:pStyle w:val="a3"/>
              <w:rPr>
                <w:szCs w:val="22"/>
              </w:rPr>
            </w:pPr>
            <w:r w:rsidRPr="00640635">
              <w:rPr>
                <w:szCs w:val="22"/>
              </w:rPr>
              <w:t xml:space="preserve">Упаковка отражает полную информацию о продукте: № партии, информацию о регистрации и сертификации, дату окончания срока годности, данные о производителе. Срок годности </w:t>
            </w:r>
            <w:r w:rsidR="0088725F">
              <w:rPr>
                <w:szCs w:val="22"/>
                <w:lang w:val="en-US"/>
              </w:rPr>
              <w:t>3</w:t>
            </w:r>
            <w:r w:rsidRPr="005C4182">
              <w:t xml:space="preserve"> </w:t>
            </w:r>
            <w:r w:rsidR="0088725F">
              <w:t>года</w:t>
            </w:r>
            <w:r w:rsidRPr="005C4182">
              <w:t>.</w:t>
            </w:r>
            <w:r w:rsidRPr="00640635">
              <w:rPr>
                <w:szCs w:val="22"/>
              </w:rPr>
              <w:t xml:space="preserve"> </w:t>
            </w:r>
          </w:p>
        </w:tc>
      </w:tr>
      <w:tr w:rsidR="00974D46" w:rsidTr="00974D46">
        <w:tc>
          <w:tcPr>
            <w:tcW w:w="648" w:type="dxa"/>
          </w:tcPr>
          <w:p w:rsidR="00974D46" w:rsidRDefault="00794DC0" w:rsidP="00EC4691">
            <w:pPr>
              <w:pStyle w:val="a6"/>
            </w:pPr>
            <w:r>
              <w:t>2</w:t>
            </w:r>
          </w:p>
        </w:tc>
        <w:tc>
          <w:tcPr>
            <w:tcW w:w="2295" w:type="dxa"/>
          </w:tcPr>
          <w:p w:rsidR="00974D46" w:rsidRPr="00640635" w:rsidRDefault="00974D46" w:rsidP="00EC4691">
            <w:pPr>
              <w:pStyle w:val="a3"/>
              <w:rPr>
                <w:szCs w:val="22"/>
              </w:rPr>
            </w:pPr>
            <w:r w:rsidRPr="00640635">
              <w:rPr>
                <w:szCs w:val="22"/>
              </w:rPr>
              <w:t xml:space="preserve">Шпатель гинекологический </w:t>
            </w:r>
            <w:proofErr w:type="spellStart"/>
            <w:r w:rsidRPr="00640635">
              <w:rPr>
                <w:szCs w:val="22"/>
              </w:rPr>
              <w:t>Эйра</w:t>
            </w:r>
            <w:proofErr w:type="spellEnd"/>
          </w:p>
        </w:tc>
        <w:tc>
          <w:tcPr>
            <w:tcW w:w="7230" w:type="dxa"/>
          </w:tcPr>
          <w:p w:rsidR="00974D46" w:rsidRDefault="00974D46" w:rsidP="00EC4691">
            <w:pPr>
              <w:pStyle w:val="a3"/>
              <w:rPr>
                <w:szCs w:val="22"/>
              </w:rPr>
            </w:pPr>
            <w:r w:rsidRPr="00640635">
              <w:rPr>
                <w:szCs w:val="22"/>
              </w:rPr>
              <w:t>Шпатель предназначен для взятия мазка на цитологические исследование из цервикального канала и с поверхности шейки матки.</w:t>
            </w:r>
          </w:p>
          <w:p w:rsidR="00974D46" w:rsidRDefault="00974D46" w:rsidP="00EC4691">
            <w:pPr>
              <w:pStyle w:val="a3"/>
              <w:rPr>
                <w:szCs w:val="22"/>
              </w:rPr>
            </w:pPr>
            <w:r w:rsidRPr="00EC4691">
              <w:rPr>
                <w:szCs w:val="22"/>
              </w:rPr>
              <w:t xml:space="preserve">Изготовлен из нетоксичных медицинского полипропилена белого цвета, поверхность инструмента при соприкосновении с телом быстро приобретает его температуру, исключая дискомфорт процедуры. Индивидуальная </w:t>
            </w:r>
            <w:r w:rsidRPr="00640635">
              <w:rPr>
                <w:szCs w:val="22"/>
              </w:rPr>
              <w:t>потребительская</w:t>
            </w:r>
            <w:r>
              <w:rPr>
                <w:szCs w:val="22"/>
              </w:rPr>
              <w:t xml:space="preserve"> у</w:t>
            </w:r>
            <w:r w:rsidRPr="00EC4691">
              <w:rPr>
                <w:szCs w:val="22"/>
              </w:rPr>
              <w:t xml:space="preserve">паковка </w:t>
            </w:r>
            <w:r w:rsidRPr="00640635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Pr="00EC4691">
              <w:rPr>
                <w:szCs w:val="22"/>
              </w:rPr>
              <w:t>блистер.</w:t>
            </w:r>
            <w:r>
              <w:rPr>
                <w:szCs w:val="22"/>
              </w:rPr>
              <w:t xml:space="preserve"> </w:t>
            </w:r>
            <w:r w:rsidRPr="00EC4691">
              <w:rPr>
                <w:szCs w:val="22"/>
              </w:rPr>
              <w:t xml:space="preserve">Стерильный, </w:t>
            </w:r>
            <w:proofErr w:type="spellStart"/>
            <w:r w:rsidRPr="00640635">
              <w:rPr>
                <w:szCs w:val="22"/>
              </w:rPr>
              <w:t>апирогенный</w:t>
            </w:r>
            <w:proofErr w:type="spellEnd"/>
            <w:r w:rsidRPr="00640635">
              <w:rPr>
                <w:szCs w:val="22"/>
              </w:rPr>
              <w:t>, нетоксичный. Стерилизация газовая – оксидом этилена.</w:t>
            </w:r>
          </w:p>
          <w:p w:rsidR="00974D46" w:rsidRPr="00EC4691" w:rsidRDefault="00974D46" w:rsidP="0088725F">
            <w:pPr>
              <w:pStyle w:val="a3"/>
              <w:rPr>
                <w:szCs w:val="22"/>
              </w:rPr>
            </w:pPr>
            <w:r w:rsidRPr="00640635">
              <w:rPr>
                <w:szCs w:val="22"/>
              </w:rPr>
              <w:t>Упаковка отражает полную информацию о продукте: № партии, информацию о регистрации и сертификации, дату окончания срока годности, данные о производителе. Срок годности</w:t>
            </w:r>
            <w:r w:rsidRPr="005C4182">
              <w:t xml:space="preserve"> </w:t>
            </w:r>
            <w:r w:rsidR="0088725F">
              <w:t>3</w:t>
            </w:r>
            <w:r w:rsidRPr="005C4182">
              <w:t xml:space="preserve"> </w:t>
            </w:r>
            <w:r w:rsidR="0088725F">
              <w:t>года</w:t>
            </w:r>
            <w:r w:rsidRPr="005C4182">
              <w:t>.</w:t>
            </w:r>
            <w:r w:rsidRPr="00640635">
              <w:rPr>
                <w:szCs w:val="22"/>
              </w:rPr>
              <w:t xml:space="preserve"> </w:t>
            </w:r>
          </w:p>
        </w:tc>
      </w:tr>
      <w:tr w:rsidR="00D37F73" w:rsidTr="00403684">
        <w:tc>
          <w:tcPr>
            <w:tcW w:w="648" w:type="dxa"/>
          </w:tcPr>
          <w:p w:rsidR="00D37F73" w:rsidRDefault="00D37F73" w:rsidP="00EC4691">
            <w:pPr>
              <w:pStyle w:val="a6"/>
            </w:pPr>
          </w:p>
          <w:p w:rsidR="00D37F73" w:rsidRDefault="00D37F73" w:rsidP="00EC4691">
            <w:pPr>
              <w:pStyle w:val="a6"/>
            </w:pPr>
          </w:p>
          <w:p w:rsidR="00D37F73" w:rsidRDefault="00D37F73" w:rsidP="00EC4691">
            <w:pPr>
              <w:pStyle w:val="a6"/>
            </w:pPr>
          </w:p>
          <w:p w:rsidR="00D37F73" w:rsidRDefault="00D37F73" w:rsidP="00EC4691">
            <w:pPr>
              <w:pStyle w:val="a6"/>
            </w:pPr>
            <w:r>
              <w:t>3</w:t>
            </w:r>
          </w:p>
        </w:tc>
        <w:tc>
          <w:tcPr>
            <w:tcW w:w="2295" w:type="dxa"/>
            <w:vAlign w:val="center"/>
          </w:tcPr>
          <w:p w:rsidR="00D37F73" w:rsidRPr="003872F4" w:rsidRDefault="0088725F" w:rsidP="0050315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8725F">
              <w:rPr>
                <w:sz w:val="20"/>
                <w:szCs w:val="20"/>
              </w:rPr>
              <w:t>Цитощётка</w:t>
            </w:r>
            <w:proofErr w:type="spellEnd"/>
            <w:r w:rsidRPr="0088725F">
              <w:rPr>
                <w:sz w:val="20"/>
                <w:szCs w:val="20"/>
              </w:rPr>
              <w:t xml:space="preserve"> к набору гинекологическому (D2)</w:t>
            </w:r>
          </w:p>
        </w:tc>
        <w:tc>
          <w:tcPr>
            <w:tcW w:w="7230" w:type="dxa"/>
            <w:vAlign w:val="center"/>
          </w:tcPr>
          <w:p w:rsidR="00D37F73" w:rsidRPr="003872F4" w:rsidRDefault="00D37F73" w:rsidP="00720A2C">
            <w:pPr>
              <w:spacing w:line="240" w:lineRule="auto"/>
              <w:rPr>
                <w:bCs/>
                <w:sz w:val="20"/>
                <w:szCs w:val="20"/>
              </w:rPr>
            </w:pPr>
            <w:r w:rsidRPr="003872F4">
              <w:rPr>
                <w:bCs/>
                <w:sz w:val="20"/>
                <w:szCs w:val="20"/>
              </w:rPr>
              <w:t xml:space="preserve">Зонд урогенитальный тип Д-2. </w:t>
            </w:r>
            <w:proofErr w:type="gramStart"/>
            <w:r>
              <w:rPr>
                <w:bCs/>
                <w:sz w:val="20"/>
                <w:szCs w:val="20"/>
              </w:rPr>
              <w:t>Предназначен</w:t>
            </w:r>
            <w:proofErr w:type="gramEnd"/>
            <w:r>
              <w:rPr>
                <w:bCs/>
                <w:sz w:val="20"/>
                <w:szCs w:val="20"/>
              </w:rPr>
              <w:t xml:space="preserve"> для взятия материала с поверхности слизистых оболочек. </w:t>
            </w:r>
            <w:proofErr w:type="spellStart"/>
            <w:r w:rsidRPr="003872F4">
              <w:rPr>
                <w:bCs/>
                <w:sz w:val="20"/>
                <w:szCs w:val="20"/>
              </w:rPr>
              <w:t>Цитощетка</w:t>
            </w:r>
            <w:proofErr w:type="spellEnd"/>
            <w:r w:rsidRPr="003872F4">
              <w:rPr>
                <w:bCs/>
                <w:sz w:val="20"/>
                <w:szCs w:val="20"/>
              </w:rPr>
              <w:t xml:space="preserve"> малотравматична, собирает большое количество </w:t>
            </w:r>
            <w:proofErr w:type="spellStart"/>
            <w:r w:rsidRPr="003872F4">
              <w:rPr>
                <w:bCs/>
                <w:sz w:val="20"/>
                <w:szCs w:val="20"/>
              </w:rPr>
              <w:t>эндоцервикального</w:t>
            </w:r>
            <w:proofErr w:type="spellEnd"/>
            <w:r w:rsidRPr="003872F4">
              <w:rPr>
                <w:bCs/>
                <w:sz w:val="20"/>
                <w:szCs w:val="20"/>
              </w:rPr>
              <w:t xml:space="preserve"> материала, обеспечивая оптимальный уровень диагностики. </w:t>
            </w:r>
            <w:r>
              <w:rPr>
                <w:bCs/>
                <w:sz w:val="20"/>
                <w:szCs w:val="20"/>
              </w:rPr>
              <w:t xml:space="preserve">Наличие мягких эластичных щетинок на рабочей части </w:t>
            </w:r>
            <w:proofErr w:type="spellStart"/>
            <w:r>
              <w:rPr>
                <w:bCs/>
                <w:sz w:val="20"/>
                <w:szCs w:val="20"/>
              </w:rPr>
              <w:t>цитщетки</w:t>
            </w:r>
            <w:proofErr w:type="spellEnd"/>
            <w:r>
              <w:rPr>
                <w:bCs/>
                <w:sz w:val="20"/>
                <w:szCs w:val="20"/>
              </w:rPr>
              <w:t xml:space="preserve"> для различных видов исследований. </w:t>
            </w:r>
            <w:r w:rsidRPr="003872F4">
              <w:rPr>
                <w:bCs/>
                <w:sz w:val="20"/>
                <w:szCs w:val="20"/>
              </w:rPr>
              <w:t xml:space="preserve">Длина зонда 19 см, длина рабочей поверхности 2 см. Стерильно, нетоксично, </w:t>
            </w:r>
            <w:proofErr w:type="spellStart"/>
            <w:r w:rsidRPr="003872F4">
              <w:rPr>
                <w:bCs/>
                <w:sz w:val="20"/>
                <w:szCs w:val="20"/>
              </w:rPr>
              <w:t>апирогенно</w:t>
            </w:r>
            <w:proofErr w:type="spellEnd"/>
            <w:r w:rsidRPr="003872F4">
              <w:rPr>
                <w:bCs/>
                <w:sz w:val="20"/>
                <w:szCs w:val="20"/>
              </w:rPr>
              <w:t>. Метод стерилизации – оксидом  этилена.</w:t>
            </w:r>
            <w:r w:rsidRPr="003872F4">
              <w:rPr>
                <w:sz w:val="20"/>
                <w:szCs w:val="20"/>
              </w:rPr>
              <w:t xml:space="preserve"> Этикетка отражает полную информ</w:t>
            </w:r>
            <w:r w:rsidR="00720A2C">
              <w:rPr>
                <w:sz w:val="20"/>
                <w:szCs w:val="20"/>
              </w:rPr>
              <w:t>ацию о продукте. Срок годности 5 лет</w:t>
            </w:r>
            <w:r w:rsidRPr="003872F4">
              <w:rPr>
                <w:sz w:val="20"/>
                <w:szCs w:val="20"/>
              </w:rPr>
              <w:t xml:space="preserve"> с мом</w:t>
            </w:r>
            <w:r>
              <w:rPr>
                <w:sz w:val="20"/>
                <w:szCs w:val="20"/>
              </w:rPr>
              <w:t xml:space="preserve">ента  производства. </w:t>
            </w:r>
            <w:r w:rsidR="0088725F">
              <w:rPr>
                <w:sz w:val="20"/>
                <w:szCs w:val="20"/>
              </w:rPr>
              <w:t>(РУ № ФСР 2009/04814)</w:t>
            </w:r>
            <w:bookmarkStart w:id="0" w:name="_GoBack"/>
            <w:bookmarkEnd w:id="0"/>
          </w:p>
        </w:tc>
      </w:tr>
    </w:tbl>
    <w:p w:rsidR="00691E39" w:rsidRPr="00640635" w:rsidRDefault="00691E39" w:rsidP="00466CCD"/>
    <w:sectPr w:rsidR="00691E39" w:rsidRPr="00640635" w:rsidSect="00946C2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348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24A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7CF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2A7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B83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C69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0E5F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303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8A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368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E43C6"/>
    <w:multiLevelType w:val="multilevel"/>
    <w:tmpl w:val="875E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6B53F4"/>
    <w:multiLevelType w:val="multilevel"/>
    <w:tmpl w:val="E2E6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70"/>
    <w:rsid w:val="00036353"/>
    <w:rsid w:val="000411C4"/>
    <w:rsid w:val="00074B79"/>
    <w:rsid w:val="00080FBB"/>
    <w:rsid w:val="000817EE"/>
    <w:rsid w:val="00083427"/>
    <w:rsid w:val="000837F6"/>
    <w:rsid w:val="00096DBA"/>
    <w:rsid w:val="000B2659"/>
    <w:rsid w:val="00117E83"/>
    <w:rsid w:val="00120B5A"/>
    <w:rsid w:val="001477F8"/>
    <w:rsid w:val="001A122C"/>
    <w:rsid w:val="001B0F9B"/>
    <w:rsid w:val="001E21B6"/>
    <w:rsid w:val="002121A0"/>
    <w:rsid w:val="00245032"/>
    <w:rsid w:val="00255922"/>
    <w:rsid w:val="00260F2D"/>
    <w:rsid w:val="002742DB"/>
    <w:rsid w:val="002747DE"/>
    <w:rsid w:val="00277214"/>
    <w:rsid w:val="00287175"/>
    <w:rsid w:val="002B2311"/>
    <w:rsid w:val="002C5B13"/>
    <w:rsid w:val="002D051B"/>
    <w:rsid w:val="0030440E"/>
    <w:rsid w:val="00332D29"/>
    <w:rsid w:val="00384482"/>
    <w:rsid w:val="003872F4"/>
    <w:rsid w:val="00390535"/>
    <w:rsid w:val="00396162"/>
    <w:rsid w:val="003B1186"/>
    <w:rsid w:val="003B289A"/>
    <w:rsid w:val="003B292C"/>
    <w:rsid w:val="003B30B3"/>
    <w:rsid w:val="003C3C14"/>
    <w:rsid w:val="003C5347"/>
    <w:rsid w:val="003D0156"/>
    <w:rsid w:val="003D32EE"/>
    <w:rsid w:val="003E2F4C"/>
    <w:rsid w:val="003E5EF6"/>
    <w:rsid w:val="003F51D0"/>
    <w:rsid w:val="003F6C36"/>
    <w:rsid w:val="00466CCD"/>
    <w:rsid w:val="004764A6"/>
    <w:rsid w:val="00482AF6"/>
    <w:rsid w:val="004D338A"/>
    <w:rsid w:val="00512C2A"/>
    <w:rsid w:val="00521F94"/>
    <w:rsid w:val="0054061F"/>
    <w:rsid w:val="00551F94"/>
    <w:rsid w:val="0055384D"/>
    <w:rsid w:val="00562770"/>
    <w:rsid w:val="005666F7"/>
    <w:rsid w:val="00573B5F"/>
    <w:rsid w:val="005774CA"/>
    <w:rsid w:val="005831F0"/>
    <w:rsid w:val="005C0A2A"/>
    <w:rsid w:val="005C4182"/>
    <w:rsid w:val="005C5684"/>
    <w:rsid w:val="005D2CAD"/>
    <w:rsid w:val="005D7C6F"/>
    <w:rsid w:val="005F06C4"/>
    <w:rsid w:val="005F7FB8"/>
    <w:rsid w:val="00613E32"/>
    <w:rsid w:val="00621D1E"/>
    <w:rsid w:val="00625C41"/>
    <w:rsid w:val="00633487"/>
    <w:rsid w:val="00640635"/>
    <w:rsid w:val="0064068C"/>
    <w:rsid w:val="0068368A"/>
    <w:rsid w:val="0068618C"/>
    <w:rsid w:val="00691E39"/>
    <w:rsid w:val="00693147"/>
    <w:rsid w:val="00720A2C"/>
    <w:rsid w:val="00727457"/>
    <w:rsid w:val="00746D31"/>
    <w:rsid w:val="007529D0"/>
    <w:rsid w:val="007630B2"/>
    <w:rsid w:val="00794DC0"/>
    <w:rsid w:val="007C2587"/>
    <w:rsid w:val="007D1EA2"/>
    <w:rsid w:val="007E502D"/>
    <w:rsid w:val="007F4156"/>
    <w:rsid w:val="00825525"/>
    <w:rsid w:val="00827125"/>
    <w:rsid w:val="008370BD"/>
    <w:rsid w:val="0088725F"/>
    <w:rsid w:val="008E61E1"/>
    <w:rsid w:val="00945D6A"/>
    <w:rsid w:val="00946C2B"/>
    <w:rsid w:val="009546ED"/>
    <w:rsid w:val="009573F5"/>
    <w:rsid w:val="009577B1"/>
    <w:rsid w:val="00963D8C"/>
    <w:rsid w:val="00964B35"/>
    <w:rsid w:val="00974D46"/>
    <w:rsid w:val="00985B86"/>
    <w:rsid w:val="009D01B2"/>
    <w:rsid w:val="009D4ACA"/>
    <w:rsid w:val="009D659E"/>
    <w:rsid w:val="009F5546"/>
    <w:rsid w:val="00A00591"/>
    <w:rsid w:val="00A119E6"/>
    <w:rsid w:val="00A1296A"/>
    <w:rsid w:val="00A46328"/>
    <w:rsid w:val="00A9706C"/>
    <w:rsid w:val="00AE3924"/>
    <w:rsid w:val="00AE7C61"/>
    <w:rsid w:val="00AF200C"/>
    <w:rsid w:val="00B0162B"/>
    <w:rsid w:val="00B2604B"/>
    <w:rsid w:val="00B47083"/>
    <w:rsid w:val="00B76DCC"/>
    <w:rsid w:val="00B8329A"/>
    <w:rsid w:val="00BB4DCC"/>
    <w:rsid w:val="00BD182A"/>
    <w:rsid w:val="00BD4689"/>
    <w:rsid w:val="00BF4FDA"/>
    <w:rsid w:val="00C06A24"/>
    <w:rsid w:val="00C3456B"/>
    <w:rsid w:val="00C42D34"/>
    <w:rsid w:val="00C84D7F"/>
    <w:rsid w:val="00C96C7F"/>
    <w:rsid w:val="00CA32DA"/>
    <w:rsid w:val="00D32D5D"/>
    <w:rsid w:val="00D37F73"/>
    <w:rsid w:val="00D537FE"/>
    <w:rsid w:val="00D57555"/>
    <w:rsid w:val="00D578D5"/>
    <w:rsid w:val="00DA187B"/>
    <w:rsid w:val="00DE4F1A"/>
    <w:rsid w:val="00DE69C7"/>
    <w:rsid w:val="00E22450"/>
    <w:rsid w:val="00E24ED9"/>
    <w:rsid w:val="00E8220E"/>
    <w:rsid w:val="00E916AB"/>
    <w:rsid w:val="00E96428"/>
    <w:rsid w:val="00EB13DB"/>
    <w:rsid w:val="00EC4691"/>
    <w:rsid w:val="00ED024B"/>
    <w:rsid w:val="00EF5E71"/>
    <w:rsid w:val="00F0478D"/>
    <w:rsid w:val="00F32538"/>
    <w:rsid w:val="00F336A6"/>
    <w:rsid w:val="00F44404"/>
    <w:rsid w:val="00F61DED"/>
    <w:rsid w:val="00F66B31"/>
    <w:rsid w:val="00F719F8"/>
    <w:rsid w:val="00FC5780"/>
    <w:rsid w:val="00FD7CCB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35"/>
    <w:pPr>
      <w:spacing w:line="360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640635"/>
    <w:pPr>
      <w:spacing w:before="120" w:after="1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0635"/>
    <w:rPr>
      <w:rFonts w:cs="Times New Roman"/>
      <w:b/>
      <w:sz w:val="22"/>
      <w:szCs w:val="22"/>
      <w:lang w:val="ru-RU" w:eastAsia="ru-RU" w:bidi="ar-SA"/>
    </w:rPr>
  </w:style>
  <w:style w:type="paragraph" w:customStyle="1" w:styleId="a3">
    <w:name w:val="Текст таблицы"/>
    <w:basedOn w:val="a"/>
    <w:uiPriority w:val="99"/>
    <w:rsid w:val="003B289A"/>
    <w:pPr>
      <w:spacing w:before="60" w:after="60"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0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9F8"/>
    <w:rPr>
      <w:rFonts w:ascii="Times New Roman" w:hAnsi="Times New Roman" w:cs="Times New Roman"/>
      <w:sz w:val="2"/>
    </w:rPr>
  </w:style>
  <w:style w:type="paragraph" w:customStyle="1" w:styleId="a6">
    <w:name w:val="Текст таблицы центр"/>
    <w:basedOn w:val="a3"/>
    <w:uiPriority w:val="99"/>
    <w:rsid w:val="003B289A"/>
    <w:pPr>
      <w:jc w:val="center"/>
    </w:pPr>
  </w:style>
  <w:style w:type="paragraph" w:customStyle="1" w:styleId="a7">
    <w:name w:val="Заголовок таблицы"/>
    <w:basedOn w:val="a"/>
    <w:uiPriority w:val="99"/>
    <w:rsid w:val="003B289A"/>
    <w:pPr>
      <w:spacing w:before="60" w:after="60" w:line="240" w:lineRule="auto"/>
      <w:jc w:val="center"/>
    </w:pPr>
    <w:rPr>
      <w:b/>
      <w:bCs/>
      <w:sz w:val="20"/>
      <w:szCs w:val="20"/>
    </w:rPr>
  </w:style>
  <w:style w:type="paragraph" w:styleId="a8">
    <w:name w:val="No Spacing"/>
    <w:uiPriority w:val="1"/>
    <w:qFormat/>
    <w:rsid w:val="00621D1E"/>
    <w:rPr>
      <w:sz w:val="22"/>
      <w:szCs w:val="22"/>
    </w:rPr>
  </w:style>
  <w:style w:type="paragraph" w:styleId="a9">
    <w:name w:val="Normal (Web)"/>
    <w:basedOn w:val="a"/>
    <w:uiPriority w:val="99"/>
    <w:unhideWhenUsed/>
    <w:locked/>
    <w:rsid w:val="00F66B31"/>
    <w:pPr>
      <w:spacing w:before="150" w:after="225" w:line="240" w:lineRule="auto"/>
    </w:pPr>
    <w:rPr>
      <w:szCs w:val="24"/>
    </w:rPr>
  </w:style>
  <w:style w:type="character" w:customStyle="1" w:styleId="apple-style-span">
    <w:name w:val="apple-style-span"/>
    <w:basedOn w:val="a0"/>
    <w:rsid w:val="00974D46"/>
  </w:style>
  <w:style w:type="character" w:styleId="aa">
    <w:name w:val="Strong"/>
    <w:basedOn w:val="a0"/>
    <w:uiPriority w:val="22"/>
    <w:qFormat/>
    <w:locked/>
    <w:rsid w:val="004D33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35"/>
    <w:pPr>
      <w:spacing w:line="360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640635"/>
    <w:pPr>
      <w:spacing w:before="120" w:after="1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0635"/>
    <w:rPr>
      <w:rFonts w:cs="Times New Roman"/>
      <w:b/>
      <w:sz w:val="22"/>
      <w:szCs w:val="22"/>
      <w:lang w:val="ru-RU" w:eastAsia="ru-RU" w:bidi="ar-SA"/>
    </w:rPr>
  </w:style>
  <w:style w:type="paragraph" w:customStyle="1" w:styleId="a3">
    <w:name w:val="Текст таблицы"/>
    <w:basedOn w:val="a"/>
    <w:uiPriority w:val="99"/>
    <w:rsid w:val="003B289A"/>
    <w:pPr>
      <w:spacing w:before="60" w:after="60"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0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9F8"/>
    <w:rPr>
      <w:rFonts w:ascii="Times New Roman" w:hAnsi="Times New Roman" w:cs="Times New Roman"/>
      <w:sz w:val="2"/>
    </w:rPr>
  </w:style>
  <w:style w:type="paragraph" w:customStyle="1" w:styleId="a6">
    <w:name w:val="Текст таблицы центр"/>
    <w:basedOn w:val="a3"/>
    <w:uiPriority w:val="99"/>
    <w:rsid w:val="003B289A"/>
    <w:pPr>
      <w:jc w:val="center"/>
    </w:pPr>
  </w:style>
  <w:style w:type="paragraph" w:customStyle="1" w:styleId="a7">
    <w:name w:val="Заголовок таблицы"/>
    <w:basedOn w:val="a"/>
    <w:uiPriority w:val="99"/>
    <w:rsid w:val="003B289A"/>
    <w:pPr>
      <w:spacing w:before="60" w:after="60" w:line="240" w:lineRule="auto"/>
      <w:jc w:val="center"/>
    </w:pPr>
    <w:rPr>
      <w:b/>
      <w:bCs/>
      <w:sz w:val="20"/>
      <w:szCs w:val="20"/>
    </w:rPr>
  </w:style>
  <w:style w:type="paragraph" w:styleId="a8">
    <w:name w:val="No Spacing"/>
    <w:uiPriority w:val="1"/>
    <w:qFormat/>
    <w:rsid w:val="00621D1E"/>
    <w:rPr>
      <w:sz w:val="22"/>
      <w:szCs w:val="22"/>
    </w:rPr>
  </w:style>
  <w:style w:type="paragraph" w:styleId="a9">
    <w:name w:val="Normal (Web)"/>
    <w:basedOn w:val="a"/>
    <w:uiPriority w:val="99"/>
    <w:unhideWhenUsed/>
    <w:locked/>
    <w:rsid w:val="00F66B31"/>
    <w:pPr>
      <w:spacing w:before="150" w:after="225" w:line="240" w:lineRule="auto"/>
    </w:pPr>
    <w:rPr>
      <w:szCs w:val="24"/>
    </w:rPr>
  </w:style>
  <w:style w:type="character" w:customStyle="1" w:styleId="apple-style-span">
    <w:name w:val="apple-style-span"/>
    <w:basedOn w:val="a0"/>
    <w:rsid w:val="00974D46"/>
  </w:style>
  <w:style w:type="character" w:styleId="aa">
    <w:name w:val="Strong"/>
    <w:basedOn w:val="a0"/>
    <w:uiPriority w:val="22"/>
    <w:qFormat/>
    <w:locked/>
    <w:rsid w:val="004D3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01538">
                              <w:marLeft w:val="3975"/>
                              <w:marRight w:val="27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7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1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3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9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0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181">
                              <w:marLeft w:val="3669"/>
                              <w:marRight w:val="2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3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177">
                              <w:marLeft w:val="3669"/>
                              <w:marRight w:val="2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3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18D8-1819-4170-8EE7-E5C747EE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Шприцы инъекционные однократного применения трехдетальные 150 мл с наконечником для катетерной насадки:</vt:lpstr>
    </vt:vector>
  </TitlesOfParts>
  <Company>МИМ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Шприцы инъекционные однократного применения трехдетальные 150 мл с наконечником для катетерной насадки:</dc:title>
  <dc:creator>Ирина Михайловна</dc:creator>
  <cp:lastModifiedBy>Красуцкая</cp:lastModifiedBy>
  <cp:revision>6</cp:revision>
  <dcterms:created xsi:type="dcterms:W3CDTF">2015-09-10T08:43:00Z</dcterms:created>
  <dcterms:modified xsi:type="dcterms:W3CDTF">2019-06-25T05:46:00Z</dcterms:modified>
</cp:coreProperties>
</file>